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990" w14:textId="106C6CF6" w:rsidR="009D1925" w:rsidRPr="009D1925" w:rsidRDefault="009D1925" w:rsidP="00F938A9">
      <w:pPr>
        <w:pStyle w:val="a3"/>
        <w:tabs>
          <w:tab w:val="left" w:pos="284"/>
          <w:tab w:val="left" w:pos="1080"/>
        </w:tabs>
        <w:spacing w:after="0"/>
        <w:ind w:left="360"/>
        <w:jc w:val="both"/>
        <w:rPr>
          <w:b/>
          <w:bCs/>
          <w:sz w:val="28"/>
          <w:szCs w:val="28"/>
        </w:rPr>
      </w:pPr>
      <w:r w:rsidRPr="009D1925">
        <w:rPr>
          <w:b/>
          <w:bCs/>
          <w:sz w:val="28"/>
          <w:szCs w:val="28"/>
        </w:rPr>
        <w:t>Вопросы</w:t>
      </w:r>
    </w:p>
    <w:p w14:paraId="0AB1E510" w14:textId="2A9CCDAB" w:rsidR="009D1925" w:rsidRPr="009D1925" w:rsidRDefault="009D1925" w:rsidP="00F938A9">
      <w:pPr>
        <w:pStyle w:val="a3"/>
        <w:tabs>
          <w:tab w:val="left" w:pos="284"/>
          <w:tab w:val="left" w:pos="1080"/>
        </w:tabs>
        <w:ind w:left="360"/>
        <w:jc w:val="both"/>
        <w:rPr>
          <w:b/>
          <w:bCs/>
          <w:sz w:val="28"/>
          <w:szCs w:val="28"/>
        </w:rPr>
      </w:pPr>
      <w:r w:rsidRPr="009D1925">
        <w:rPr>
          <w:b/>
          <w:bCs/>
          <w:sz w:val="28"/>
          <w:szCs w:val="28"/>
        </w:rPr>
        <w:t>к государственному междисциплинарному экзамену</w:t>
      </w:r>
    </w:p>
    <w:p w14:paraId="65AD51EE" w14:textId="3BD4B7AE" w:rsidR="009D1925" w:rsidRPr="009D1925" w:rsidRDefault="009D1925" w:rsidP="00F938A9">
      <w:pPr>
        <w:pStyle w:val="a3"/>
        <w:tabs>
          <w:tab w:val="left" w:pos="284"/>
          <w:tab w:val="left" w:pos="1080"/>
        </w:tabs>
        <w:ind w:left="851"/>
        <w:jc w:val="both"/>
        <w:rPr>
          <w:b/>
          <w:bCs/>
          <w:sz w:val="28"/>
          <w:szCs w:val="28"/>
        </w:rPr>
      </w:pPr>
      <w:r w:rsidRPr="009D1925">
        <w:rPr>
          <w:b/>
          <w:bCs/>
          <w:sz w:val="28"/>
          <w:szCs w:val="28"/>
        </w:rPr>
        <w:t>42.04.01 «Реклама и связи с общественностью», направленность «</w:t>
      </w:r>
      <w:r w:rsidR="008525CB">
        <w:rPr>
          <w:b/>
          <w:bCs/>
          <w:sz w:val="28"/>
          <w:szCs w:val="28"/>
        </w:rPr>
        <w:t>Управление коммуникациями на государственной и муниципальной службе»</w:t>
      </w:r>
    </w:p>
    <w:p w14:paraId="29C86779" w14:textId="77777777" w:rsidR="00F36A0C" w:rsidRPr="00F36A0C" w:rsidRDefault="00F36A0C" w:rsidP="00F938A9">
      <w:pPr>
        <w:pStyle w:val="a3"/>
        <w:numPr>
          <w:ilvl w:val="0"/>
          <w:numId w:val="22"/>
        </w:numPr>
        <w:tabs>
          <w:tab w:val="left" w:pos="1080"/>
        </w:tabs>
        <w:jc w:val="both"/>
      </w:pPr>
      <w:bookmarkStart w:id="0" w:name="_Hlk114085371"/>
      <w:r w:rsidRPr="00F36A0C">
        <w:t>Методологическая культура научно-познавательной деятельности в области рекламы и связей с общественностью.</w:t>
      </w:r>
    </w:p>
    <w:p w14:paraId="08365A96" w14:textId="77777777" w:rsidR="00F36A0C" w:rsidRPr="00F36A0C" w:rsidRDefault="00F36A0C" w:rsidP="00F938A9">
      <w:pPr>
        <w:pStyle w:val="a3"/>
        <w:numPr>
          <w:ilvl w:val="0"/>
          <w:numId w:val="22"/>
        </w:numPr>
        <w:tabs>
          <w:tab w:val="left" w:pos="1080"/>
        </w:tabs>
        <w:jc w:val="both"/>
      </w:pPr>
      <w:r w:rsidRPr="00F36A0C">
        <w:t>Коммуникационная стратегия как основа организации и проведения коммуникационных кампаний.</w:t>
      </w:r>
    </w:p>
    <w:p w14:paraId="283DE6DD" w14:textId="77777777" w:rsidR="00F36A0C" w:rsidRPr="00F36A0C" w:rsidRDefault="00F36A0C" w:rsidP="00F938A9">
      <w:pPr>
        <w:pStyle w:val="a3"/>
        <w:numPr>
          <w:ilvl w:val="0"/>
          <w:numId w:val="22"/>
        </w:numPr>
        <w:tabs>
          <w:tab w:val="left" w:pos="1080"/>
        </w:tabs>
        <w:jc w:val="both"/>
      </w:pPr>
      <w:r w:rsidRPr="00F36A0C">
        <w:t xml:space="preserve">Роль корпоративной культуры, положительного имиджа организации в наращивании </w:t>
      </w:r>
      <w:proofErr w:type="spellStart"/>
      <w:r w:rsidRPr="00F36A0C">
        <w:t>паблицитного</w:t>
      </w:r>
      <w:proofErr w:type="spellEnd"/>
      <w:r w:rsidRPr="00F36A0C">
        <w:t xml:space="preserve"> капитала.</w:t>
      </w:r>
    </w:p>
    <w:p w14:paraId="69CE72DE" w14:textId="40DF2C20" w:rsidR="00F36A0C" w:rsidRPr="00F36A0C" w:rsidRDefault="00F36A0C" w:rsidP="00F938A9">
      <w:pPr>
        <w:pStyle w:val="a3"/>
        <w:numPr>
          <w:ilvl w:val="0"/>
          <w:numId w:val="22"/>
        </w:numPr>
        <w:tabs>
          <w:tab w:val="left" w:pos="1080"/>
        </w:tabs>
        <w:jc w:val="both"/>
      </w:pPr>
      <w:r w:rsidRPr="00F36A0C">
        <w:t>Управленческие решения и профессиональные компетенции в коммуникационном менеджменте.</w:t>
      </w:r>
    </w:p>
    <w:p w14:paraId="30198C89" w14:textId="77777777" w:rsidR="00F36A0C" w:rsidRPr="00F36A0C" w:rsidRDefault="00F36A0C" w:rsidP="00F938A9">
      <w:pPr>
        <w:pStyle w:val="a3"/>
        <w:numPr>
          <w:ilvl w:val="0"/>
          <w:numId w:val="22"/>
        </w:numPr>
        <w:tabs>
          <w:tab w:val="left" w:pos="1080"/>
        </w:tabs>
        <w:jc w:val="both"/>
      </w:pPr>
      <w:r w:rsidRPr="00F36A0C">
        <w:t>Организационная и корпоративная культура в контексте рекламы и связей с общественностью.</w:t>
      </w:r>
    </w:p>
    <w:p w14:paraId="5F312E19" w14:textId="77777777" w:rsidR="00F36A0C" w:rsidRPr="00F36A0C" w:rsidRDefault="00F36A0C" w:rsidP="00F938A9">
      <w:pPr>
        <w:pStyle w:val="a3"/>
        <w:numPr>
          <w:ilvl w:val="0"/>
          <w:numId w:val="22"/>
        </w:numPr>
        <w:tabs>
          <w:tab w:val="left" w:pos="1080"/>
        </w:tabs>
        <w:jc w:val="both"/>
      </w:pPr>
      <w:r w:rsidRPr="00F36A0C">
        <w:t>Понятие и специфика антикризисных коммуникаций.</w:t>
      </w:r>
    </w:p>
    <w:p w14:paraId="7CC2561C" w14:textId="77777777" w:rsidR="00F36A0C" w:rsidRPr="00F36A0C" w:rsidRDefault="00F36A0C" w:rsidP="00F938A9">
      <w:pPr>
        <w:pStyle w:val="a3"/>
        <w:numPr>
          <w:ilvl w:val="0"/>
          <w:numId w:val="22"/>
        </w:numPr>
        <w:tabs>
          <w:tab w:val="left" w:pos="1080"/>
        </w:tabs>
        <w:jc w:val="both"/>
      </w:pPr>
      <w:r w:rsidRPr="00F36A0C">
        <w:t>Подходы к типологии и классификации организационных культур, место и роль внутренних корпоративных коммуникаций.</w:t>
      </w:r>
    </w:p>
    <w:p w14:paraId="466E78FE" w14:textId="77777777" w:rsidR="00F36A0C" w:rsidRPr="00F36A0C" w:rsidRDefault="00F36A0C" w:rsidP="00F938A9">
      <w:pPr>
        <w:pStyle w:val="a3"/>
        <w:numPr>
          <w:ilvl w:val="0"/>
          <w:numId w:val="22"/>
        </w:numPr>
        <w:tabs>
          <w:tab w:val="left" w:pos="1080"/>
        </w:tabs>
        <w:jc w:val="both"/>
      </w:pPr>
      <w:r w:rsidRPr="00F36A0C">
        <w:t>Репутационный и коммуникационный менеджмент в контексте рекламы и связей с общественностью.</w:t>
      </w:r>
    </w:p>
    <w:p w14:paraId="172475D4" w14:textId="77777777" w:rsidR="00F36A0C" w:rsidRPr="00F36A0C" w:rsidRDefault="00F36A0C" w:rsidP="00F938A9">
      <w:pPr>
        <w:pStyle w:val="a3"/>
        <w:numPr>
          <w:ilvl w:val="0"/>
          <w:numId w:val="22"/>
        </w:numPr>
        <w:tabs>
          <w:tab w:val="left" w:pos="1080"/>
        </w:tabs>
        <w:jc w:val="both"/>
      </w:pPr>
      <w:r w:rsidRPr="00F36A0C">
        <w:t>Общественное мнение как объект исследования: методы и подходы. Технологии формирования общественного мнения.</w:t>
      </w:r>
    </w:p>
    <w:p w14:paraId="6CC8F96A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Тенденции в формировании современных лидеров общественного мнения: их использование в сфере рекламы и связей с общественностью, критерии эффективности.</w:t>
      </w:r>
    </w:p>
    <w:p w14:paraId="75154892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Изменения структуры, форм и содержания коммуникаций в интернет-среде в контексте рекламы и связей с общественностью.</w:t>
      </w:r>
    </w:p>
    <w:p w14:paraId="4C8E0CFD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Переговоры как интерактивный процесс коммуникации.</w:t>
      </w:r>
    </w:p>
    <w:p w14:paraId="00951ACF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Классические этапы переговорного процесса.</w:t>
      </w:r>
    </w:p>
    <w:p w14:paraId="733222F4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Возникновение и пути разрешения противоречий и конфликтов. Типы конфликтов. Подходы к управлению конфликтами.</w:t>
      </w:r>
    </w:p>
    <w:p w14:paraId="6573EDD7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Методы сбора информации в сфере рекламы и связей с общественностью</w:t>
      </w:r>
    </w:p>
    <w:p w14:paraId="2B783895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 xml:space="preserve">Технологии </w:t>
      </w:r>
      <w:proofErr w:type="spellStart"/>
      <w:r w:rsidRPr="00F36A0C">
        <w:t>Big</w:t>
      </w:r>
      <w:proofErr w:type="spellEnd"/>
      <w:r w:rsidRPr="00F36A0C">
        <w:t xml:space="preserve"> </w:t>
      </w:r>
      <w:proofErr w:type="spellStart"/>
      <w:proofErr w:type="gramStart"/>
      <w:r w:rsidRPr="00F36A0C">
        <w:t>Data</w:t>
      </w:r>
      <w:proofErr w:type="spellEnd"/>
      <w:r w:rsidRPr="00F36A0C">
        <w:t xml:space="preserve">  в</w:t>
      </w:r>
      <w:proofErr w:type="gramEnd"/>
      <w:r w:rsidRPr="00F36A0C">
        <w:t xml:space="preserve"> сфере рекламы и связей с общественностью.</w:t>
      </w:r>
    </w:p>
    <w:p w14:paraId="3E1F800D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Понятие «среды» как предмета изучения в сфере рекламы и связей с общественностью.</w:t>
      </w:r>
    </w:p>
    <w:p w14:paraId="598036FB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 xml:space="preserve">Современные методы сбора данных </w:t>
      </w:r>
      <w:proofErr w:type="spellStart"/>
      <w:r w:rsidRPr="00F36A0C">
        <w:t>медиаметрических</w:t>
      </w:r>
      <w:proofErr w:type="spellEnd"/>
      <w:r w:rsidRPr="00F36A0C">
        <w:t xml:space="preserve"> показателей в сфере рекламы и связей с общественностью.</w:t>
      </w:r>
    </w:p>
    <w:p w14:paraId="26CA273B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Уровни планирования в сфере рекламы и связей с общественностью.</w:t>
      </w:r>
    </w:p>
    <w:p w14:paraId="344FD96D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Роль и место конкурентного анализа в сфере рекламы и связей с общественностью: методы и принципы.</w:t>
      </w:r>
    </w:p>
    <w:p w14:paraId="76550003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Понятие «стратегия» в сфере рекламы и связей с общественностью.</w:t>
      </w:r>
    </w:p>
    <w:p w14:paraId="35EE75FE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Кабинетные исследования в сфере рекламы и связей с общественностью: методики, объекты, тенденции.</w:t>
      </w:r>
    </w:p>
    <w:p w14:paraId="18315157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Полевые исследования в сфере рекламы и связей с общественностью: методики, объекты, тенденции.</w:t>
      </w:r>
    </w:p>
    <w:p w14:paraId="370A35B2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Тенденции в изменениях потребительского поведения, их отражение в коммуникационных практиках.</w:t>
      </w:r>
    </w:p>
    <w:p w14:paraId="1DBAC542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lastRenderedPageBreak/>
        <w:t xml:space="preserve">Изучение потребителей и потребительского поведения: современные подходы и методы, место и роль в сфере рекламы и связей с общественностью. </w:t>
      </w:r>
    </w:p>
    <w:p w14:paraId="212E356B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 xml:space="preserve">Зависимость планирования коммуникационных стратегий от рекламируемого продукта, характера целевой аудитории, бюджета и других особенностей конкретной кампании. </w:t>
      </w:r>
    </w:p>
    <w:p w14:paraId="04C40571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Анализ поведения аудитории телевидения как основа оценки его эффективности как средства распространения рекламы.</w:t>
      </w:r>
    </w:p>
    <w:p w14:paraId="6F118309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Виды наружной и транзитной рекламы и их характеристика. Особенности восприятия наружной и транзитной рекламы.</w:t>
      </w:r>
    </w:p>
    <w:p w14:paraId="0DDCD8F3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Важнейшие ориентиры планирования информационного воздействия на целевую аудиторию.</w:t>
      </w:r>
    </w:p>
    <w:p w14:paraId="6C7B8C4F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Место рекламы на ТВ и ее эффективность.</w:t>
      </w:r>
    </w:p>
    <w:p w14:paraId="5AC2AF14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 xml:space="preserve">Реклама в Интернете: достоинства и недостатки, характеристика, стоимость. </w:t>
      </w:r>
    </w:p>
    <w:p w14:paraId="79C3802F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proofErr w:type="spellStart"/>
      <w:r w:rsidRPr="00F36A0C">
        <w:t>Медиапланирование</w:t>
      </w:r>
      <w:proofErr w:type="spellEnd"/>
      <w:r w:rsidRPr="00F36A0C">
        <w:t xml:space="preserve"> как комплекс решений, ведущих к эффективной рекламной кампании. </w:t>
      </w:r>
    </w:p>
    <w:p w14:paraId="5C1976D2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proofErr w:type="spellStart"/>
      <w:r w:rsidRPr="00F36A0C">
        <w:t>Медиаисследования</w:t>
      </w:r>
      <w:proofErr w:type="spellEnd"/>
      <w:r w:rsidRPr="00F36A0C">
        <w:t xml:space="preserve"> и их роль в </w:t>
      </w:r>
      <w:proofErr w:type="spellStart"/>
      <w:r w:rsidRPr="00F36A0C">
        <w:t>медиаплинировании</w:t>
      </w:r>
      <w:proofErr w:type="spellEnd"/>
      <w:r w:rsidRPr="00F36A0C">
        <w:t xml:space="preserve">. Важнейшие параметры </w:t>
      </w:r>
      <w:proofErr w:type="spellStart"/>
      <w:r w:rsidRPr="00F36A0C">
        <w:t>медиаисследований</w:t>
      </w:r>
      <w:proofErr w:type="spellEnd"/>
      <w:r w:rsidRPr="00F36A0C">
        <w:t>.</w:t>
      </w:r>
    </w:p>
    <w:p w14:paraId="57F037EB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Понятие «межкультурная коммуникация».</w:t>
      </w:r>
    </w:p>
    <w:p w14:paraId="359E2636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 xml:space="preserve">Основные положения теории </w:t>
      </w:r>
      <w:proofErr w:type="spellStart"/>
      <w:r w:rsidRPr="00F36A0C">
        <w:t>Э.Холла</w:t>
      </w:r>
      <w:proofErr w:type="spellEnd"/>
      <w:r w:rsidRPr="00F36A0C">
        <w:t>.</w:t>
      </w:r>
    </w:p>
    <w:p w14:paraId="0F2CB86B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 xml:space="preserve">Параметрическая модель культуры </w:t>
      </w:r>
      <w:proofErr w:type="spellStart"/>
      <w:r w:rsidRPr="00F36A0C">
        <w:t>Г.Хофстеде</w:t>
      </w:r>
      <w:proofErr w:type="spellEnd"/>
      <w:r w:rsidRPr="00F36A0C">
        <w:t>: ключевые характеристики.</w:t>
      </w:r>
    </w:p>
    <w:p w14:paraId="41AB8955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Правовые и технологические методы охраны атрибутики бренда</w:t>
      </w:r>
    </w:p>
    <w:p w14:paraId="6CC05F03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 xml:space="preserve">Сущность и технологии современного </w:t>
      </w:r>
      <w:proofErr w:type="spellStart"/>
      <w:r w:rsidRPr="00F36A0C">
        <w:t>бренднейминга</w:t>
      </w:r>
      <w:proofErr w:type="spellEnd"/>
      <w:r w:rsidRPr="00F36A0C">
        <w:t>.</w:t>
      </w:r>
    </w:p>
    <w:p w14:paraId="2B09EDD4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Комплексный аудит бренда.</w:t>
      </w:r>
    </w:p>
    <w:p w14:paraId="36F59BAF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Стратегическая направленность, цели и задачи органов государственного и муниципального управления и связей с общественностью.</w:t>
      </w:r>
    </w:p>
    <w:p w14:paraId="07624EDC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Основные каналы информационных коммуникаций: сущность, основные виды, принципы выбора властных структур для взаимодействия с целевыми аудиториями.</w:t>
      </w:r>
    </w:p>
    <w:p w14:paraId="61780FEF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Виды коммуникаций, принципы коммуникаций, инструменты коммуникаций органов государственного и муниципального управления.</w:t>
      </w:r>
    </w:p>
    <w:p w14:paraId="56081EA3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муниципального управления.</w:t>
      </w:r>
    </w:p>
    <w:p w14:paraId="108C32C0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городского хозяйства.</w:t>
      </w:r>
    </w:p>
    <w:p w14:paraId="6D83B9ED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регионального управления.</w:t>
      </w:r>
    </w:p>
    <w:p w14:paraId="7180B28E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культурной политики.</w:t>
      </w:r>
    </w:p>
    <w:p w14:paraId="714EDC5B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молодежной политики.</w:t>
      </w:r>
    </w:p>
    <w:p w14:paraId="7968891D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высшего образования.</w:t>
      </w:r>
    </w:p>
    <w:p w14:paraId="3A6119B1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государственных международных отношений.</w:t>
      </w:r>
    </w:p>
    <w:p w14:paraId="3A237464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области государственной образовательной политики.</w:t>
      </w:r>
    </w:p>
    <w:p w14:paraId="7D34F90A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науки.</w:t>
      </w:r>
    </w:p>
    <w:p w14:paraId="7442F73B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туризма.</w:t>
      </w:r>
    </w:p>
    <w:p w14:paraId="4813835A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спорта.</w:t>
      </w:r>
    </w:p>
    <w:p w14:paraId="2FA2E358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киноискусства.</w:t>
      </w:r>
    </w:p>
    <w:p w14:paraId="16F88408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строительной политики.</w:t>
      </w:r>
    </w:p>
    <w:p w14:paraId="56EDF14F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медицинских услуг.</w:t>
      </w:r>
    </w:p>
    <w:p w14:paraId="014F4BB4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государственных силовых структур.</w:t>
      </w:r>
    </w:p>
    <w:p w14:paraId="5A17F05C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государственных финансов.</w:t>
      </w:r>
    </w:p>
    <w:p w14:paraId="636CED8F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lastRenderedPageBreak/>
        <w:t>Управление стратегическими коммуникациями в сфере транспортной инфраструктуры.</w:t>
      </w:r>
    </w:p>
    <w:p w14:paraId="64E28115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государственных контролирующих структур (ФАС, Рособрнадзор, Роспотребнадзор и т.п.).</w:t>
      </w:r>
    </w:p>
    <w:p w14:paraId="607EDF50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массмедиа.</w:t>
      </w:r>
    </w:p>
    <w:p w14:paraId="7E49F459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 xml:space="preserve"> Управление стратегическими коммуникациями в сфере государственных услуг.</w:t>
      </w:r>
    </w:p>
    <w:p w14:paraId="762FF6EF" w14:textId="77777777" w:rsidR="00F36A0C" w:rsidRPr="00F36A0C" w:rsidRDefault="00F36A0C" w:rsidP="00F938A9">
      <w:pPr>
        <w:pStyle w:val="a3"/>
        <w:numPr>
          <w:ilvl w:val="0"/>
          <w:numId w:val="22"/>
        </w:numPr>
        <w:jc w:val="both"/>
      </w:pPr>
      <w:r w:rsidRPr="00F36A0C">
        <w:t>Управление стратегическими коммуникациями в сфере государственной продовольственной политики.</w:t>
      </w:r>
    </w:p>
    <w:p w14:paraId="6308457B" w14:textId="77777777" w:rsidR="006A2F8E" w:rsidRPr="00740FC0" w:rsidRDefault="006A2F8E" w:rsidP="00F938A9">
      <w:pPr>
        <w:pStyle w:val="a3"/>
        <w:tabs>
          <w:tab w:val="left" w:pos="1080"/>
        </w:tabs>
        <w:spacing w:before="0" w:after="0"/>
        <w:ind w:left="360"/>
        <w:jc w:val="both"/>
      </w:pPr>
    </w:p>
    <w:bookmarkEnd w:id="0"/>
    <w:p w14:paraId="6A5F4762" w14:textId="77777777" w:rsidR="008A13F8" w:rsidRDefault="008A13F8" w:rsidP="00F938A9">
      <w:pPr>
        <w:jc w:val="both"/>
      </w:pPr>
    </w:p>
    <w:sectPr w:rsidR="008A13F8" w:rsidSect="00F938A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DBD"/>
    <w:multiLevelType w:val="hybridMultilevel"/>
    <w:tmpl w:val="86D2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6C93"/>
    <w:multiLevelType w:val="hybridMultilevel"/>
    <w:tmpl w:val="2C0A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F300C"/>
    <w:multiLevelType w:val="hybridMultilevel"/>
    <w:tmpl w:val="D81E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627F3"/>
    <w:multiLevelType w:val="hybridMultilevel"/>
    <w:tmpl w:val="A922EF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44E34"/>
    <w:multiLevelType w:val="hybridMultilevel"/>
    <w:tmpl w:val="1F929E04"/>
    <w:lvl w:ilvl="0" w:tplc="68BA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1796C"/>
    <w:multiLevelType w:val="hybridMultilevel"/>
    <w:tmpl w:val="7B889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13055"/>
    <w:multiLevelType w:val="hybridMultilevel"/>
    <w:tmpl w:val="6002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7569C"/>
    <w:multiLevelType w:val="hybridMultilevel"/>
    <w:tmpl w:val="E974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D7C97"/>
    <w:multiLevelType w:val="hybridMultilevel"/>
    <w:tmpl w:val="444C6828"/>
    <w:lvl w:ilvl="0" w:tplc="D1BA45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0EEE"/>
    <w:multiLevelType w:val="hybridMultilevel"/>
    <w:tmpl w:val="091E17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FC016F5"/>
    <w:multiLevelType w:val="hybridMultilevel"/>
    <w:tmpl w:val="246E0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A6DBB"/>
    <w:multiLevelType w:val="hybridMultilevel"/>
    <w:tmpl w:val="62DC2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76DFA"/>
    <w:multiLevelType w:val="hybridMultilevel"/>
    <w:tmpl w:val="68E4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A0EDC"/>
    <w:multiLevelType w:val="hybridMultilevel"/>
    <w:tmpl w:val="9E28DC78"/>
    <w:lvl w:ilvl="0" w:tplc="88F6D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F50DF"/>
    <w:multiLevelType w:val="hybridMultilevel"/>
    <w:tmpl w:val="2B86FBBE"/>
    <w:lvl w:ilvl="0" w:tplc="88F6D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BF64EC"/>
    <w:multiLevelType w:val="hybridMultilevel"/>
    <w:tmpl w:val="0950A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83C71"/>
    <w:multiLevelType w:val="hybridMultilevel"/>
    <w:tmpl w:val="66E4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7456A"/>
    <w:multiLevelType w:val="hybridMultilevel"/>
    <w:tmpl w:val="7BAAB2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606430"/>
    <w:multiLevelType w:val="hybridMultilevel"/>
    <w:tmpl w:val="C4A8D6C2"/>
    <w:lvl w:ilvl="0" w:tplc="88F6D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35FD6"/>
    <w:multiLevelType w:val="hybridMultilevel"/>
    <w:tmpl w:val="22D48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00158A"/>
    <w:multiLevelType w:val="hybridMultilevel"/>
    <w:tmpl w:val="F348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AA6667"/>
    <w:multiLevelType w:val="hybridMultilevel"/>
    <w:tmpl w:val="0C268D5A"/>
    <w:lvl w:ilvl="0" w:tplc="88F6D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0"/>
  </w:num>
  <w:num w:numId="5">
    <w:abstractNumId w:val="13"/>
  </w:num>
  <w:num w:numId="6">
    <w:abstractNumId w:val="18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20"/>
  </w:num>
  <w:num w:numId="16">
    <w:abstractNumId w:val="2"/>
  </w:num>
  <w:num w:numId="17">
    <w:abstractNumId w:val="1"/>
  </w:num>
  <w:num w:numId="18">
    <w:abstractNumId w:val="15"/>
  </w:num>
  <w:num w:numId="19">
    <w:abstractNumId w:val="17"/>
  </w:num>
  <w:num w:numId="20">
    <w:abstractNumId w:val="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90"/>
    <w:rsid w:val="00040DE1"/>
    <w:rsid w:val="000D1260"/>
    <w:rsid w:val="000D78D7"/>
    <w:rsid w:val="001033F6"/>
    <w:rsid w:val="00135C0A"/>
    <w:rsid w:val="00155BAE"/>
    <w:rsid w:val="001E3FB4"/>
    <w:rsid w:val="001F1E1B"/>
    <w:rsid w:val="002B4C0D"/>
    <w:rsid w:val="003B5BBE"/>
    <w:rsid w:val="00407570"/>
    <w:rsid w:val="00410C77"/>
    <w:rsid w:val="00416290"/>
    <w:rsid w:val="00444C07"/>
    <w:rsid w:val="00472D39"/>
    <w:rsid w:val="00476C50"/>
    <w:rsid w:val="004A4CFF"/>
    <w:rsid w:val="004A5DFD"/>
    <w:rsid w:val="00501977"/>
    <w:rsid w:val="00613121"/>
    <w:rsid w:val="006623FB"/>
    <w:rsid w:val="006A1CA0"/>
    <w:rsid w:val="006A2F8E"/>
    <w:rsid w:val="006B59EA"/>
    <w:rsid w:val="00757D78"/>
    <w:rsid w:val="007A1574"/>
    <w:rsid w:val="007B3C2E"/>
    <w:rsid w:val="007E4FD3"/>
    <w:rsid w:val="00813997"/>
    <w:rsid w:val="0081570E"/>
    <w:rsid w:val="008525CB"/>
    <w:rsid w:val="00876FA0"/>
    <w:rsid w:val="008A13F8"/>
    <w:rsid w:val="008C2940"/>
    <w:rsid w:val="008F0431"/>
    <w:rsid w:val="00901F57"/>
    <w:rsid w:val="009B2C09"/>
    <w:rsid w:val="009D1925"/>
    <w:rsid w:val="00B87942"/>
    <w:rsid w:val="00C724B3"/>
    <w:rsid w:val="00CC282C"/>
    <w:rsid w:val="00CD3128"/>
    <w:rsid w:val="00CF3203"/>
    <w:rsid w:val="00D00745"/>
    <w:rsid w:val="00E37303"/>
    <w:rsid w:val="00E81364"/>
    <w:rsid w:val="00E86023"/>
    <w:rsid w:val="00EC1B3C"/>
    <w:rsid w:val="00EF520F"/>
    <w:rsid w:val="00F228CB"/>
    <w:rsid w:val="00F36A0C"/>
    <w:rsid w:val="00F7304D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0E4B"/>
  <w15:chartTrackingRefBased/>
  <w15:docId w15:val="{29E9B228-A5FC-43AA-AE58-F280E2D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940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locked/>
    <w:rsid w:val="00410C77"/>
    <w:rPr>
      <w:sz w:val="24"/>
      <w:szCs w:val="24"/>
      <w:lang w:eastAsia="ru-RU"/>
    </w:rPr>
  </w:style>
  <w:style w:type="paragraph" w:styleId="a5">
    <w:name w:val="header"/>
    <w:basedOn w:val="a"/>
    <w:link w:val="a4"/>
    <w:rsid w:val="00410C7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10C77"/>
  </w:style>
  <w:style w:type="paragraph" w:customStyle="1" w:styleId="a6">
    <w:basedOn w:val="a"/>
    <w:next w:val="a3"/>
    <w:rsid w:val="00410C77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3"/>
    <w:rsid w:val="001F1E1B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3"/>
    <w:rsid w:val="002B4C0D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rsid w:val="00CD3128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3"/>
    <w:rsid w:val="007A1574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3"/>
    <w:rsid w:val="00F228CB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3"/>
    <w:rsid w:val="000D78D7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3"/>
    <w:rsid w:val="004A5DFD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basedOn w:val="a"/>
    <w:next w:val="a3"/>
    <w:rsid w:val="00476C50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3"/>
    <w:rsid w:val="003B5BBE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3"/>
    <w:rsid w:val="00040DE1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basedOn w:val="a"/>
    <w:next w:val="a3"/>
    <w:rsid w:val="007E4FD3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basedOn w:val="a"/>
    <w:next w:val="a3"/>
    <w:rsid w:val="004A4CFF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3"/>
    <w:rsid w:val="00501977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basedOn w:val="a"/>
    <w:next w:val="a3"/>
    <w:rsid w:val="00CC282C"/>
    <w:pPr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7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2D39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472D39"/>
    <w:pPr>
      <w:ind w:left="720"/>
      <w:contextualSpacing/>
    </w:pPr>
  </w:style>
  <w:style w:type="paragraph" w:customStyle="1" w:styleId="Default">
    <w:name w:val="Default"/>
    <w:rsid w:val="00813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Мадина Гуриева</cp:lastModifiedBy>
  <cp:revision>3</cp:revision>
  <dcterms:created xsi:type="dcterms:W3CDTF">2022-09-21T18:22:00Z</dcterms:created>
  <dcterms:modified xsi:type="dcterms:W3CDTF">2022-09-21T18:23:00Z</dcterms:modified>
</cp:coreProperties>
</file>